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3C4F6" w14:textId="77777777" w:rsidR="00F440EB" w:rsidRPr="00F440EB" w:rsidRDefault="00F440EB" w:rsidP="00F440EB">
      <w:pPr>
        <w:numPr>
          <w:ilvl w:val="1"/>
          <w:numId w:val="1"/>
        </w:numPr>
        <w:spacing w:after="0" w:line="360" w:lineRule="auto"/>
        <w:jc w:val="center"/>
        <w:rPr>
          <w:rFonts w:ascii="Times New Roman" w:eastAsia="Times New Roman" w:hAnsi="Times New Roman" w:cs="Times New Roman"/>
          <w:b/>
          <w:color w:val="000000"/>
          <w:sz w:val="28"/>
          <w:szCs w:val="28"/>
          <w:lang w:val="kk-KZ" w:eastAsia="ru-RU"/>
        </w:rPr>
      </w:pPr>
      <w:r w:rsidRPr="00F440EB">
        <w:rPr>
          <w:rFonts w:ascii="Times New Roman" w:eastAsia="Times New Roman" w:hAnsi="Times New Roman" w:cs="Times New Roman"/>
          <w:b/>
          <w:color w:val="000000"/>
          <w:sz w:val="28"/>
          <w:szCs w:val="28"/>
          <w:lang w:val="kk-KZ" w:eastAsia="ru-RU"/>
        </w:rPr>
        <w:t>Суды шайып кету және ықшамдалған көпірлер мен құбырлар түйіндерін бекіту есептемесі.</w:t>
      </w:r>
    </w:p>
    <w:p w14:paraId="76B7EAAE" w14:textId="77777777" w:rsidR="00F440EB" w:rsidRPr="00F440EB" w:rsidRDefault="00F440EB" w:rsidP="00F440EB">
      <w:pPr>
        <w:spacing w:after="0" w:line="240" w:lineRule="auto"/>
        <w:ind w:left="360"/>
        <w:jc w:val="center"/>
        <w:rPr>
          <w:rFonts w:ascii="Times New Roman" w:eastAsia="Times New Roman" w:hAnsi="Times New Roman" w:cs="Times New Roman"/>
          <w:b/>
          <w:color w:val="000000"/>
          <w:sz w:val="28"/>
          <w:szCs w:val="28"/>
          <w:lang w:val="kk-KZ" w:eastAsia="ru-RU"/>
        </w:rPr>
      </w:pPr>
    </w:p>
    <w:p w14:paraId="08B302D6"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 xml:space="preserve">     Жасанды ғимараттарды пайдалану тәжірибесіне сүйенетін болсақ, туындаған кедергілер, мысалы көптеген жағдайларда су ағындары, және шайып кету әдетте  алаңнан шығатын жақтарда пайда болады. </w:t>
      </w:r>
    </w:p>
    <w:p w14:paraId="56807554"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Ғимараттан шығу жылдамдығы 5-6 м/с, осы реттегі топырақтағы рұқсат етілген кері арна жылдамдығы 0,7- 1,0  м/с .</w:t>
      </w:r>
    </w:p>
    <w:p w14:paraId="1921EA17" w14:textId="77777777" w:rsidR="00F440EB" w:rsidRPr="00F440EB" w:rsidRDefault="00F440EB" w:rsidP="00F440EB">
      <w:pPr>
        <w:numPr>
          <w:ilvl w:val="0"/>
          <w:numId w:val="2"/>
        </w:numPr>
        <w:spacing w:after="0" w:line="360" w:lineRule="auto"/>
        <w:ind w:left="360"/>
        <w:contextualSpacing/>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Батырылған құрылымдағы кернеу.  Кернеудің бұл түрі, ағын, ғимараттан ағып өтетін ағыс толықтай батырылған уақытта байқалады (сурет 3.1, а.) Төменгі бьефте ағын су массасының жылжуы жүреді; сонымен қатар ағын ағысы біртіндеп кеми береді.</w:t>
      </w:r>
    </w:p>
    <w:p w14:paraId="451E2E46" w14:textId="77777777" w:rsidR="00F440EB" w:rsidRPr="00F440EB" w:rsidRDefault="00F440EB" w:rsidP="00F440EB">
      <w:pPr>
        <w:spacing w:after="0" w:line="360" w:lineRule="auto"/>
        <w:ind w:left="360"/>
        <w:contextualSpacing/>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2.Жаңылысқан ағыс түрінің кернеуі. Кернеудің бұл түрін  төменгі бьефті бақылау барысында байқауға болады, тереңдігі аз болған сайын, ғимараттан шығу кезіндегі тереңдіктегі  кернеудің өзгерісін байқауға болады. Жаңылысқан ағыс түрі біршама қауіпті болып есептеледі (сурет 3.1, б) .</w:t>
      </w:r>
    </w:p>
    <w:p w14:paraId="31E21CEE" w14:textId="77777777" w:rsidR="00F440EB" w:rsidRPr="00F440EB" w:rsidRDefault="00F440EB" w:rsidP="00F440EB">
      <w:pPr>
        <w:spacing w:after="0" w:line="360" w:lineRule="auto"/>
        <w:ind w:left="360"/>
        <w:contextualSpacing/>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3.Ұңғыма ағынның еркін ағысындағы кернеу түрі.  Үлкен биіктіктегі ұңғыма ағысы төменгі бьефте келесі ерекшеліктерімен сипатталады. Ағын, саңылаудан шығу барысында, арнаға түседі, мұндағы оның тереңдігі, ғимараттан шығуымен салыстырғанда аз болады.  Ауырлық</w:t>
      </w:r>
    </w:p>
    <w:p w14:paraId="4A7CA6B5" w14:textId="77777777" w:rsidR="00F440EB" w:rsidRPr="00F440EB" w:rsidRDefault="00F440EB" w:rsidP="00F440EB">
      <w:pPr>
        <w:spacing w:after="0" w:line="360" w:lineRule="auto"/>
        <w:ind w:left="360" w:hanging="360"/>
        <w:contextualSpacing/>
        <w:jc w:val="center"/>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22</w:t>
      </w:r>
    </w:p>
    <w:p w14:paraId="2B145C33" w14:textId="77777777" w:rsidR="00F440EB" w:rsidRPr="00F440EB" w:rsidRDefault="00F440EB" w:rsidP="00F440EB">
      <w:pPr>
        <w:spacing w:after="0" w:line="240" w:lineRule="auto"/>
        <w:ind w:left="360" w:hanging="360"/>
        <w:contextualSpacing/>
        <w:jc w:val="center"/>
        <w:rPr>
          <w:rFonts w:ascii="Times New Roman" w:eastAsia="Times New Roman" w:hAnsi="Times New Roman" w:cs="Times New Roman"/>
          <w:color w:val="000000"/>
          <w:sz w:val="28"/>
          <w:szCs w:val="28"/>
          <w:lang w:val="kk-KZ" w:eastAsia="ru-RU"/>
        </w:rPr>
      </w:pPr>
    </w:p>
    <w:p w14:paraId="4721E053" w14:textId="77777777" w:rsidR="00F440EB" w:rsidRPr="00F440EB" w:rsidRDefault="00F440EB" w:rsidP="00F440EB">
      <w:pPr>
        <w:spacing w:after="0" w:line="360" w:lineRule="auto"/>
        <w:ind w:left="360" w:hanging="360"/>
        <w:contextualSpacing/>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күшіне байланысты ағындар жан-жаққа таралады. (жаға бағыты бойынша) .  Бұл ағыс, ұңғыма ағысының тереңдігі, жалпы тереңдікке теңескенге дейін, яғни үйлескенге дейін жүреді. Үйлесімді (немесе кернеу) дегеніміз тереңдік, гидравликалық секіріс теңдігіне сәйкес келеді.</w:t>
      </w:r>
    </w:p>
    <w:p w14:paraId="79A7BB26"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Нәтижесінде ұңғыма ағысының алаңы, тұрмыстық ағын кедергісі  және төменгі бьеф су массасының гидравликалық секірісі, жоспарда  бұл формула «жапырақша» бойынша сипатталады (сурет 3.1, в)</w:t>
      </w:r>
    </w:p>
    <w:p w14:paraId="32C38955" w14:textId="76587CF1" w:rsidR="00F440EB" w:rsidRPr="00F440EB" w:rsidRDefault="00F440EB" w:rsidP="00F440EB">
      <w:pPr>
        <w:spacing w:after="0" w:line="360" w:lineRule="auto"/>
        <w:jc w:val="center"/>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noProof/>
          <w:color w:val="000000"/>
          <w:sz w:val="28"/>
          <w:szCs w:val="28"/>
          <w:lang w:val="kk-KZ" w:eastAsia="ru-RU"/>
        </w:rPr>
        <w:lastRenderedPageBreak/>
        <w:drawing>
          <wp:inline distT="0" distB="0" distL="0" distR="0" wp14:anchorId="6C5012D1" wp14:editId="18BBC3F0">
            <wp:extent cx="4457700" cy="15716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57700" cy="1571625"/>
                    </a:xfrm>
                    <a:prstGeom prst="rect">
                      <a:avLst/>
                    </a:prstGeom>
                    <a:noFill/>
                    <a:ln>
                      <a:noFill/>
                    </a:ln>
                  </pic:spPr>
                </pic:pic>
              </a:graphicData>
            </a:graphic>
          </wp:inline>
        </w:drawing>
      </w:r>
    </w:p>
    <w:p w14:paraId="12784458" w14:textId="77777777" w:rsidR="00F440EB" w:rsidRPr="00F440EB" w:rsidRDefault="00F440EB" w:rsidP="00F440EB">
      <w:pPr>
        <w:spacing w:after="0" w:line="360" w:lineRule="auto"/>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Сурет 3.1 Имарат артындағы арнада су лектерінің қосылғаны</w:t>
      </w:r>
    </w:p>
    <w:p w14:paraId="2AE29BDE" w14:textId="77777777" w:rsidR="00F440EB" w:rsidRPr="00F440EB" w:rsidRDefault="00F440EB" w:rsidP="00F440EB">
      <w:pPr>
        <w:spacing w:after="0" w:line="360" w:lineRule="auto"/>
        <w:rPr>
          <w:rFonts w:ascii="Times New Roman" w:eastAsia="Times New Roman" w:hAnsi="Times New Roman" w:cs="Times New Roman"/>
          <w:color w:val="000000"/>
          <w:sz w:val="24"/>
          <w:szCs w:val="24"/>
          <w:lang w:val="kk-KZ" w:eastAsia="ru-RU"/>
        </w:rPr>
      </w:pPr>
      <w:r w:rsidRPr="00F440EB">
        <w:rPr>
          <w:rFonts w:ascii="Times New Roman" w:eastAsia="Times New Roman" w:hAnsi="Times New Roman" w:cs="Times New Roman"/>
          <w:color w:val="000000"/>
          <w:sz w:val="24"/>
          <w:szCs w:val="24"/>
          <w:lang w:val="kk-KZ" w:eastAsia="ru-RU"/>
        </w:rPr>
        <w:t xml:space="preserve">а- су легі бағытын көрсету тәрізді; б- су ағыны бір келкі емес тәрізді;   </w:t>
      </w:r>
    </w:p>
    <w:p w14:paraId="52825A74" w14:textId="77777777" w:rsidR="00F440EB" w:rsidRPr="00F440EB" w:rsidRDefault="00F440EB" w:rsidP="00F440EB">
      <w:pPr>
        <w:spacing w:after="0" w:line="360" w:lineRule="auto"/>
        <w:rPr>
          <w:rFonts w:ascii="Times New Roman" w:eastAsia="Times New Roman" w:hAnsi="Times New Roman" w:cs="Times New Roman"/>
          <w:color w:val="000000"/>
          <w:sz w:val="24"/>
          <w:szCs w:val="24"/>
          <w:lang w:val="kk-KZ" w:eastAsia="ru-RU"/>
        </w:rPr>
      </w:pPr>
      <w:r w:rsidRPr="00F440EB">
        <w:rPr>
          <w:rFonts w:ascii="Times New Roman" w:eastAsia="Times New Roman" w:hAnsi="Times New Roman" w:cs="Times New Roman"/>
          <w:color w:val="000000"/>
          <w:sz w:val="24"/>
          <w:szCs w:val="24"/>
          <w:lang w:val="kk-KZ" w:eastAsia="ru-RU"/>
        </w:rPr>
        <w:t>в- су еркін жайылу тәрізді;</w:t>
      </w:r>
    </w:p>
    <w:p w14:paraId="6DD506EE"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p>
    <w:tbl>
      <w:tblPr>
        <w:tblW w:w="0" w:type="auto"/>
        <w:tblInd w:w="468" w:type="dxa"/>
        <w:tblLook w:val="01E0" w:firstRow="1" w:lastRow="1" w:firstColumn="1" w:lastColumn="1" w:noHBand="0" w:noVBand="0"/>
      </w:tblPr>
      <w:tblGrid>
        <w:gridCol w:w="4491"/>
        <w:gridCol w:w="4396"/>
      </w:tblGrid>
      <w:tr w:rsidR="00F440EB" w:rsidRPr="00F440EB" w14:paraId="096A2CE6" w14:textId="77777777" w:rsidTr="006B277D">
        <w:tc>
          <w:tcPr>
            <w:tcW w:w="4500" w:type="dxa"/>
            <w:shd w:val="clear" w:color="auto" w:fill="auto"/>
          </w:tcPr>
          <w:p w14:paraId="2077BCCB" w14:textId="18D736D5" w:rsidR="00F440EB" w:rsidRPr="00F440EB" w:rsidRDefault="00F440EB" w:rsidP="00F440EB">
            <w:pPr>
              <w:spacing w:after="0" w:line="360" w:lineRule="auto"/>
              <w:contextualSpacing/>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noProof/>
                <w:color w:val="000000"/>
                <w:sz w:val="28"/>
                <w:szCs w:val="28"/>
                <w:lang w:val="kk-KZ" w:eastAsia="ru-RU"/>
              </w:rPr>
              <w:drawing>
                <wp:inline distT="0" distB="0" distL="0" distR="0" wp14:anchorId="56EEC8A5" wp14:editId="5CFE0A1F">
                  <wp:extent cx="2562225" cy="1638300"/>
                  <wp:effectExtent l="0" t="0" r="9525" b="0"/>
                  <wp:docPr id="2" name="Рисунок 2" descr="Изображение выглядит как текст, антен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Изображение выглядит как текст, антенна&#10;&#10;Автоматически созданное описание"/>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2225" cy="1638300"/>
                          </a:xfrm>
                          <a:prstGeom prst="rect">
                            <a:avLst/>
                          </a:prstGeom>
                          <a:noFill/>
                          <a:ln>
                            <a:noFill/>
                          </a:ln>
                        </pic:spPr>
                      </pic:pic>
                    </a:graphicData>
                  </a:graphic>
                </wp:inline>
              </w:drawing>
            </w:r>
          </w:p>
        </w:tc>
        <w:tc>
          <w:tcPr>
            <w:tcW w:w="4500" w:type="dxa"/>
            <w:shd w:val="clear" w:color="auto" w:fill="auto"/>
          </w:tcPr>
          <w:p w14:paraId="2C92739E" w14:textId="77777777" w:rsidR="00F440EB" w:rsidRPr="00F440EB" w:rsidRDefault="00F440EB" w:rsidP="00F440EB">
            <w:pPr>
              <w:spacing w:after="0" w:line="360" w:lineRule="auto"/>
              <w:contextualSpacing/>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Сурет 3.2 Суағызу имаратынан кейінгі беріктірудің бойлық кескіні сұлбасы.</w:t>
            </w:r>
          </w:p>
        </w:tc>
      </w:tr>
    </w:tbl>
    <w:p w14:paraId="49492562"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 xml:space="preserve">    </w:t>
      </w:r>
    </w:p>
    <w:p w14:paraId="162BF26D"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 xml:space="preserve">Қорғаныс құралдарын жоспалау барысындағы сужинақтайтын ғимараттардағы тәжірибеге сүйенетін болсақ, шайып кету үрдісі жүрмейтін арналарда ұзын бекітпелерді орнатудың қажеттілігі жоқ. Әдетте экономикалық тұрғыдан қысқа бекітпелерді орнатады, яғни олар еңісті сақтандыру қызметін атқарады, мұнда шайынды ойықтары болады, ол </w:t>
      </w:r>
    </w:p>
    <w:p w14:paraId="2F000090"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p>
    <w:p w14:paraId="2E225A4C" w14:textId="77777777" w:rsidR="00F440EB" w:rsidRPr="00F440EB" w:rsidRDefault="00F440EB" w:rsidP="00F440EB">
      <w:pPr>
        <w:spacing w:after="0" w:line="360" w:lineRule="auto"/>
        <w:jc w:val="center"/>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23</w:t>
      </w:r>
    </w:p>
    <w:p w14:paraId="76EEE21C" w14:textId="77777777" w:rsidR="00F440EB" w:rsidRPr="00F440EB" w:rsidRDefault="00F440EB" w:rsidP="00F440EB">
      <w:pPr>
        <w:spacing w:after="0" w:line="240" w:lineRule="auto"/>
        <w:jc w:val="center"/>
        <w:rPr>
          <w:rFonts w:ascii="Times New Roman" w:eastAsia="Times New Roman" w:hAnsi="Times New Roman" w:cs="Times New Roman"/>
          <w:color w:val="000000"/>
          <w:sz w:val="28"/>
          <w:szCs w:val="28"/>
          <w:lang w:val="kk-KZ" w:eastAsia="ru-RU"/>
        </w:rPr>
      </w:pPr>
    </w:p>
    <w:p w14:paraId="45653778"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қауіпсіздікті сақтау үшін ғимараттарда қолданылады (сурет 3.2), яғни еңіс саңылауы ойық түбінен аз болуы керек.</w:t>
      </w:r>
    </w:p>
    <w:p w14:paraId="570DD4A1"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 xml:space="preserve">      Еңістігі сақтандыру тереңдігі гидравликалық ағыс сипаттамасына, сонымен қатар бекіту ұзындығына тәуелді болып табылады. Шайынды тереңдігін анықтау үшін келесі теориялық есептеме мәліметтерін қолдануға болады.</w:t>
      </w:r>
    </w:p>
    <w:p w14:paraId="48A2FCC1"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p>
    <w:p w14:paraId="2FC750E8" w14:textId="0442D90A"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m:oMath>
        <m:f>
          <m:fPr>
            <m:ctrlPr>
              <w:rPr>
                <w:rFonts w:ascii="Cambria Math" w:hAnsi="Cambria Math"/>
                <w:i/>
                <w:sz w:val="28"/>
                <w:szCs w:val="28"/>
                <w:lang w:val="kk-KZ"/>
              </w:rPr>
            </m:ctrlPr>
          </m:fPr>
          <m:num>
            <m:sSub>
              <m:sSubPr>
                <m:ctrlPr>
                  <w:rPr>
                    <w:rFonts w:ascii="Cambria Math" w:hAnsi="Cambria Math"/>
                    <w:i/>
                    <w:sz w:val="28"/>
                    <w:szCs w:val="28"/>
                    <w:lang w:val="kk-KZ"/>
                  </w:rPr>
                </m:ctrlPr>
              </m:sSubPr>
              <m:e>
                <m:r>
                  <w:rPr>
                    <w:rFonts w:ascii="Cambria Math" w:hAnsi="Cambria Math"/>
                    <w:sz w:val="28"/>
                    <w:szCs w:val="28"/>
                    <w:lang w:val="kk-KZ"/>
                  </w:rPr>
                  <m:t>t</m:t>
                </m:r>
              </m:e>
              <m:sub>
                <m:r>
                  <w:rPr>
                    <w:rFonts w:ascii="Cambria Math" w:hAnsi="Cambria Math"/>
                    <w:sz w:val="28"/>
                    <w:szCs w:val="28"/>
                    <w:lang w:val="kk-KZ"/>
                  </w:rPr>
                  <m:t>укр</m:t>
                </m:r>
              </m:sub>
            </m:sSub>
            <m:r>
              <w:rPr>
                <w:rFonts w:ascii="Cambria Math" w:hAnsi="Cambria Math"/>
                <w:sz w:val="28"/>
                <w:szCs w:val="28"/>
                <w:lang w:val="kk-KZ"/>
              </w:rPr>
              <m:t>tgα</m:t>
            </m:r>
          </m:num>
          <m:den>
            <m:r>
              <w:rPr>
                <w:rFonts w:ascii="Cambria Math" w:hAnsi="Cambria Math"/>
                <w:sz w:val="28"/>
                <w:szCs w:val="28"/>
                <w:lang w:val="kk-KZ"/>
              </w:rPr>
              <m:t>b</m:t>
            </m:r>
          </m:den>
        </m:f>
      </m:oMath>
      <w:r w:rsidRPr="00F440EB">
        <w:rPr>
          <w:rFonts w:ascii="Times New Roman" w:eastAsia="Times New Roman" w:hAnsi="Times New Roman" w:cs="Times New Roman"/>
          <w:color w:val="000000"/>
          <w:sz w:val="28"/>
          <w:szCs w:val="28"/>
          <w:lang w:val="kk-KZ" w:eastAsia="ru-RU"/>
        </w:rPr>
        <w:t xml:space="preserve"> ……………..      0               1         2         3         4        5         8           10</w:t>
      </w:r>
    </w:p>
    <w:p w14:paraId="0C779120" w14:textId="287E6471"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m:oMath>
        <m:sSub>
          <m:sSubPr>
            <m:ctrlPr>
              <w:rPr>
                <w:rFonts w:ascii="Cambria Math" w:hAnsi="Cambria Math"/>
                <w:i/>
                <w:sz w:val="28"/>
                <w:szCs w:val="28"/>
                <w:lang w:val="en-US"/>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:H</m:t>
        </m:r>
      </m:oMath>
      <w:r w:rsidRPr="00F440EB">
        <w:rPr>
          <w:rFonts w:ascii="Times New Roman" w:eastAsia="Times New Roman" w:hAnsi="Times New Roman" w:cs="Times New Roman"/>
          <w:color w:val="000000"/>
          <w:sz w:val="28"/>
          <w:szCs w:val="28"/>
          <w:lang w:val="kk-KZ" w:eastAsia="ru-RU"/>
        </w:rPr>
        <w:t>……………..      1.55        0.98     0.78    0.65      0.59    0.54     0.45    0.40</w:t>
      </w:r>
    </w:p>
    <w:p w14:paraId="62073EFB" w14:textId="77777777" w:rsidR="00F440EB" w:rsidRPr="00F440EB" w:rsidRDefault="00F440EB" w:rsidP="00F440EB">
      <w:pPr>
        <w:spacing w:after="0" w:line="240" w:lineRule="auto"/>
        <w:jc w:val="both"/>
        <w:rPr>
          <w:rFonts w:ascii="Times New Roman" w:eastAsia="Times New Roman" w:hAnsi="Times New Roman" w:cs="Times New Roman"/>
          <w:color w:val="000000"/>
          <w:sz w:val="28"/>
          <w:szCs w:val="28"/>
          <w:lang w:val="kk-KZ" w:eastAsia="ru-RU"/>
        </w:rPr>
      </w:pPr>
    </w:p>
    <w:p w14:paraId="4B081287" w14:textId="37A51601"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 xml:space="preserve">Мұндағы  </w:t>
      </w:r>
      <m:oMath>
        <m:sSub>
          <m:sSubPr>
            <m:ctrlPr>
              <w:rPr>
                <w:rFonts w:ascii="Cambria Math" w:hAnsi="Cambria Math"/>
                <w:i/>
                <w:sz w:val="28"/>
                <w:szCs w:val="28"/>
                <w:lang w:val="en-US"/>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:H</m:t>
        </m:r>
      </m:oMath>
      <w:r w:rsidRPr="00F440EB">
        <w:rPr>
          <w:rFonts w:ascii="Times New Roman" w:eastAsia="Times New Roman" w:hAnsi="Times New Roman" w:cs="Times New Roman"/>
          <w:color w:val="000000"/>
          <w:sz w:val="28"/>
          <w:szCs w:val="28"/>
          <w:lang w:val="kk-KZ" w:eastAsia="ru-RU"/>
        </w:rPr>
        <w:t xml:space="preserve"> – шайындының салыстырмалы тереңдігі (ғимарат алдындағы су тереңдігінің бөлігі), ол бекітудің салыстырмалы ұзындығына тәуелді </w:t>
      </w:r>
      <m:oMath>
        <m:sSub>
          <m:sSubPr>
            <m:ctrlPr>
              <w:rPr>
                <w:rFonts w:ascii="Cambria Math" w:hAnsi="Cambria Math"/>
                <w:i/>
                <w:sz w:val="28"/>
                <w:szCs w:val="28"/>
                <w:lang w:val="kk-KZ"/>
              </w:rPr>
            </m:ctrlPr>
          </m:sSubPr>
          <m:e>
            <m:r>
              <w:rPr>
                <w:rFonts w:ascii="Cambria Math" w:hAnsi="Cambria Math"/>
                <w:sz w:val="28"/>
                <w:szCs w:val="28"/>
                <w:lang w:val="kk-KZ"/>
              </w:rPr>
              <m:t>t</m:t>
            </m:r>
          </m:e>
          <m:sub>
            <m:r>
              <w:rPr>
                <w:rFonts w:ascii="Cambria Math" w:hAnsi="Cambria Math"/>
                <w:sz w:val="28"/>
                <w:szCs w:val="28"/>
                <w:lang w:val="kk-KZ"/>
              </w:rPr>
              <m:t>укр</m:t>
            </m:r>
          </m:sub>
        </m:sSub>
      </m:oMath>
      <w:r w:rsidRPr="00F440EB">
        <w:rPr>
          <w:rFonts w:ascii="Times New Roman" w:eastAsia="Times New Roman" w:hAnsi="Times New Roman" w:cs="Times New Roman"/>
          <w:color w:val="000000"/>
          <w:sz w:val="28"/>
          <w:szCs w:val="28"/>
          <w:lang w:val="kk-KZ" w:eastAsia="ru-RU"/>
        </w:rPr>
        <w:t xml:space="preserve">, </w:t>
      </w:r>
      <m:oMath>
        <m:r>
          <w:rPr>
            <w:rFonts w:ascii="Cambria Math" w:hAnsi="Cambria Math"/>
            <w:sz w:val="28"/>
            <w:szCs w:val="28"/>
            <w:lang w:val="kk-KZ"/>
          </w:rPr>
          <m:t>b</m:t>
        </m:r>
      </m:oMath>
      <w:r w:rsidRPr="00F440EB">
        <w:rPr>
          <w:rFonts w:ascii="Times New Roman" w:eastAsia="Times New Roman" w:hAnsi="Times New Roman" w:cs="Times New Roman"/>
          <w:color w:val="000000"/>
          <w:sz w:val="28"/>
          <w:szCs w:val="28"/>
          <w:lang w:val="kk-KZ" w:eastAsia="ru-RU"/>
        </w:rPr>
        <w:t xml:space="preserve">; </w:t>
      </w:r>
      <m:oMath>
        <m:r>
          <w:rPr>
            <w:rFonts w:ascii="Cambria Math" w:hAnsi="Cambria Math"/>
            <w:sz w:val="28"/>
            <w:szCs w:val="28"/>
            <w:lang w:val="kk-KZ"/>
          </w:rPr>
          <m:t>b</m:t>
        </m:r>
      </m:oMath>
      <w:r w:rsidRPr="00F440EB">
        <w:rPr>
          <w:rFonts w:ascii="Times New Roman" w:eastAsia="Times New Roman" w:hAnsi="Times New Roman" w:cs="Times New Roman"/>
          <w:color w:val="000000"/>
          <w:sz w:val="28"/>
          <w:szCs w:val="28"/>
          <w:lang w:val="kk-KZ" w:eastAsia="ru-RU"/>
        </w:rPr>
        <w:t xml:space="preserve"> – ғимарат саңылауы; </w:t>
      </w:r>
      <m:oMath>
        <m:r>
          <w:rPr>
            <w:rFonts w:ascii="Cambria Math" w:hAnsi="Cambria Math"/>
            <w:sz w:val="28"/>
            <w:szCs w:val="28"/>
            <w:lang w:val="kk-KZ"/>
          </w:rPr>
          <m:t>α</m:t>
        </m:r>
      </m:oMath>
      <w:r w:rsidRPr="00F440EB">
        <w:rPr>
          <w:rFonts w:ascii="Times New Roman" w:eastAsia="Times New Roman" w:hAnsi="Times New Roman" w:cs="Times New Roman"/>
          <w:color w:val="000000"/>
          <w:sz w:val="28"/>
          <w:szCs w:val="28"/>
          <w:lang w:val="kk-KZ" w:eastAsia="ru-RU"/>
        </w:rPr>
        <w:t xml:space="preserve"> – басты кіреберістің анықталған түрінің анықталған  ағынды бұрышы, ол </w:t>
      </w:r>
      <m:oMath>
        <m:sSup>
          <m:sSupPr>
            <m:ctrlPr>
              <w:rPr>
                <w:rFonts w:ascii="Cambria Math" w:hAnsi="Cambria Math"/>
                <w:i/>
                <w:sz w:val="28"/>
                <w:szCs w:val="28"/>
                <w:lang w:val="kk-KZ"/>
              </w:rPr>
            </m:ctrlPr>
          </m:sSupPr>
          <m:e>
            <m:r>
              <w:rPr>
                <w:rFonts w:ascii="Cambria Math" w:hAnsi="Cambria Math"/>
                <w:sz w:val="28"/>
                <w:szCs w:val="28"/>
                <w:lang w:val="kk-KZ"/>
              </w:rPr>
              <m:t>45</m:t>
            </m:r>
          </m:e>
          <m:sup>
            <m:r>
              <w:rPr>
                <w:rFonts w:ascii="Cambria Math" w:hAnsi="Cambria Math"/>
                <w:sz w:val="28"/>
                <w:szCs w:val="28"/>
                <w:lang w:val="kk-KZ"/>
              </w:rPr>
              <m:t>°</m:t>
            </m:r>
          </m:sup>
        </m:sSup>
      </m:oMath>
      <w:r w:rsidRPr="00F440EB">
        <w:rPr>
          <w:rFonts w:ascii="Times New Roman" w:eastAsia="Times New Roman" w:hAnsi="Times New Roman" w:cs="Times New Roman"/>
          <w:color w:val="000000"/>
          <w:sz w:val="28"/>
          <w:szCs w:val="28"/>
          <w:lang w:val="kk-KZ" w:eastAsia="ru-RU"/>
        </w:rPr>
        <w:t xml:space="preserve"> артық болмауы керек.(сурет 3.1, в)</w:t>
      </w:r>
    </w:p>
    <w:p w14:paraId="0FBB9BBD" w14:textId="58E00FC9"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 xml:space="preserve">Келтірлген мәліметтер бойынша, егер ғимаратта бекітпелер болмаса, шайынды мөлшері </w:t>
      </w:r>
      <m:oMath>
        <m:sSub>
          <m:sSubPr>
            <m:ctrlPr>
              <w:rPr>
                <w:rFonts w:ascii="Cambria Math" w:hAnsi="Cambria Math"/>
                <w:i/>
                <w:sz w:val="28"/>
                <w:szCs w:val="28"/>
                <w:lang w:val="kk-KZ"/>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≈1.5 H</m:t>
        </m:r>
      </m:oMath>
      <w:r w:rsidRPr="00F440EB">
        <w:rPr>
          <w:rFonts w:ascii="Times New Roman" w:eastAsia="Times New Roman" w:hAnsi="Times New Roman" w:cs="Times New Roman"/>
          <w:color w:val="000000"/>
          <w:sz w:val="28"/>
          <w:szCs w:val="28"/>
          <w:lang w:val="kk-KZ" w:eastAsia="ru-RU"/>
        </w:rPr>
        <w:t xml:space="preserve">  тең . Құрылым бекітпесінің ұзындығы (3/4) </w:t>
      </w:r>
      <w:r w:rsidRPr="00F440EB">
        <w:rPr>
          <w:rFonts w:ascii="Times New Roman" w:eastAsia="Times New Roman" w:hAnsi="Times New Roman" w:cs="Times New Roman"/>
          <w:color w:val="000000"/>
          <w:sz w:val="28"/>
          <w:szCs w:val="28"/>
          <w:lang w:val="en-US" w:eastAsia="ru-RU"/>
        </w:rPr>
        <w:t xml:space="preserve">b </w:t>
      </w:r>
      <w:r w:rsidRPr="00F440EB">
        <w:rPr>
          <w:rFonts w:ascii="Times New Roman" w:eastAsia="Times New Roman" w:hAnsi="Times New Roman" w:cs="Times New Roman"/>
          <w:color w:val="000000"/>
          <w:sz w:val="28"/>
          <w:szCs w:val="28"/>
          <w:lang w:val="kk-KZ" w:eastAsia="ru-RU"/>
        </w:rPr>
        <w:t>үйлесімді емес. 3.3 суретте көрсетілген.</w:t>
      </w:r>
    </w:p>
    <w:p w14:paraId="2B525B35"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p>
    <w:tbl>
      <w:tblPr>
        <w:tblW w:w="0" w:type="auto"/>
        <w:tblLook w:val="01E0" w:firstRow="1" w:lastRow="1" w:firstColumn="1" w:lastColumn="1" w:noHBand="0" w:noVBand="0"/>
      </w:tblPr>
      <w:tblGrid>
        <w:gridCol w:w="4968"/>
        <w:gridCol w:w="3780"/>
      </w:tblGrid>
      <w:tr w:rsidR="00F440EB" w:rsidRPr="00F440EB" w14:paraId="5C4A9DB5" w14:textId="77777777" w:rsidTr="006B277D">
        <w:tc>
          <w:tcPr>
            <w:tcW w:w="4968" w:type="dxa"/>
            <w:shd w:val="clear" w:color="auto" w:fill="auto"/>
          </w:tcPr>
          <w:p w14:paraId="1181C6EA" w14:textId="10B78493"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noProof/>
                <w:color w:val="000000"/>
                <w:sz w:val="28"/>
                <w:szCs w:val="28"/>
                <w:lang w:val="kk-KZ" w:eastAsia="ru-RU"/>
              </w:rPr>
              <w:drawing>
                <wp:inline distT="0" distB="0" distL="0" distR="0" wp14:anchorId="39CDC6E3" wp14:editId="54DF2C68">
                  <wp:extent cx="2286000" cy="21717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171700"/>
                          </a:xfrm>
                          <a:prstGeom prst="rect">
                            <a:avLst/>
                          </a:prstGeom>
                          <a:noFill/>
                          <a:ln>
                            <a:noFill/>
                          </a:ln>
                        </pic:spPr>
                      </pic:pic>
                    </a:graphicData>
                  </a:graphic>
                </wp:inline>
              </w:drawing>
            </w:r>
          </w:p>
        </w:tc>
        <w:tc>
          <w:tcPr>
            <w:tcW w:w="3780" w:type="dxa"/>
            <w:shd w:val="clear" w:color="auto" w:fill="auto"/>
          </w:tcPr>
          <w:p w14:paraId="3AB8BD80"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r w:rsidRPr="00F440EB">
              <w:rPr>
                <w:rFonts w:ascii="Times New Roman" w:eastAsia="Times New Roman" w:hAnsi="Times New Roman" w:cs="Times New Roman"/>
                <w:color w:val="000000"/>
                <w:sz w:val="28"/>
                <w:szCs w:val="28"/>
                <w:lang w:val="kk-KZ" w:eastAsia="ru-RU"/>
              </w:rPr>
              <w:t>Сурет 3.3 Имараттан кейінгі беріктіру жоспары.</w:t>
            </w:r>
          </w:p>
        </w:tc>
      </w:tr>
    </w:tbl>
    <w:p w14:paraId="35910A29"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p>
    <w:p w14:paraId="183FA5D5" w14:textId="77777777" w:rsidR="00F440EB" w:rsidRPr="00F440EB" w:rsidRDefault="00F440EB" w:rsidP="00F440EB">
      <w:pPr>
        <w:spacing w:after="0" w:line="360" w:lineRule="auto"/>
        <w:jc w:val="both"/>
        <w:rPr>
          <w:rFonts w:ascii="Times New Roman" w:eastAsia="Times New Roman" w:hAnsi="Times New Roman" w:cs="Times New Roman"/>
          <w:color w:val="000000"/>
          <w:sz w:val="28"/>
          <w:szCs w:val="28"/>
          <w:lang w:val="kk-KZ" w:eastAsia="ru-RU"/>
        </w:rPr>
      </w:pPr>
    </w:p>
    <w:p w14:paraId="306177FA" w14:textId="77777777" w:rsidR="00674724" w:rsidRPr="00F440EB" w:rsidRDefault="00674724">
      <w:pPr>
        <w:rPr>
          <w:lang w:val="kk-KZ"/>
        </w:rPr>
      </w:pPr>
    </w:p>
    <w:sectPr w:rsidR="00674724" w:rsidRPr="00F440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13F1D"/>
    <w:multiLevelType w:val="multilevel"/>
    <w:tmpl w:val="A5540B7A"/>
    <w:lvl w:ilvl="0">
      <w:start w:val="1"/>
      <w:numFmt w:val="decimal"/>
      <w:lvlText w:val="%1."/>
      <w:lvlJc w:val="left"/>
      <w:pPr>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15:restartNumberingAfterBreak="0">
    <w:nsid w:val="18AF2D04"/>
    <w:multiLevelType w:val="multilevel"/>
    <w:tmpl w:val="826A944A"/>
    <w:lvl w:ilvl="0">
      <w:start w:val="1"/>
      <w:numFmt w:val="decimal"/>
      <w:lvlText w:val="%1."/>
      <w:lvlJc w:val="left"/>
      <w:pPr>
        <w:ind w:left="720" w:hanging="360"/>
      </w:pPr>
      <w:rPr>
        <w:rFonts w:hint="default"/>
      </w:rPr>
    </w:lvl>
    <w:lvl w:ilvl="1">
      <w:start w:val="4"/>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BB4"/>
    <w:rsid w:val="00442BB4"/>
    <w:rsid w:val="00674724"/>
    <w:rsid w:val="00F440E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AA07F6-5257-4E11-BD43-F4D4981D6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486</Words>
  <Characters>2775</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2021-11-14T14:07:00Z</dcterms:created>
  <dcterms:modified xsi:type="dcterms:W3CDTF">2021-11-14T14:07:00Z</dcterms:modified>
</cp:coreProperties>
</file>